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DB0F6" w14:textId="77777777" w:rsidR="00BA6C8C" w:rsidRPr="00BA6C8C" w:rsidRDefault="00BA6C8C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</w:pPr>
      <w:r w:rsidRPr="00BA6C8C"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  <w:t xml:space="preserve">ЛЕКЦИЯ </w:t>
      </w:r>
      <w:r w:rsidR="00B44CEF" w:rsidRPr="00BA6C8C">
        <w:rPr>
          <w:rFonts w:asciiTheme="minorHAnsi" w:hAnsiTheme="minorHAnsi" w:cstheme="minorHAnsi"/>
          <w:b/>
          <w:bCs/>
          <w:spacing w:val="-6"/>
          <w:sz w:val="28"/>
          <w:szCs w:val="28"/>
          <w:u w:val="single"/>
        </w:rPr>
        <w:t>3</w:t>
      </w:r>
    </w:p>
    <w:p w14:paraId="0E2571F5" w14:textId="77777777" w:rsidR="00BA6C8C" w:rsidRPr="00BA6C8C" w:rsidRDefault="00BA6C8C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</w:rPr>
      </w:pPr>
    </w:p>
    <w:p w14:paraId="20618204" w14:textId="15412E66" w:rsidR="00B44CEF" w:rsidRPr="00BA6C8C" w:rsidRDefault="00B44CEF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b/>
          <w:bCs/>
          <w:spacing w:val="-6"/>
          <w:sz w:val="28"/>
          <w:szCs w:val="28"/>
        </w:rPr>
        <w:t xml:space="preserve"> МЕТОДЫ И ТЕХНИЧЕСКИЕ СРЕДСТВА ГЕОЛОГИЧЕСКОГО ИЗУЧЕНИЯ ПРИ ОЦЕНКЕ И РАЗВЕДКЕ МЕСТОРОЖДЕНИЙ. ЗАПАСЫ ПОЛЕЗНЫХ ИСКОПАЕМЫХ И ТЕХНОЛОГИИ ИХ ПОДСЧЕТА. ЭКСПЕРТИЗА ГЕОЛОГИЧЕСКИХ МАТЕРИАЛОВ</w:t>
      </w:r>
    </w:p>
    <w:p w14:paraId="5F6DE931" w14:textId="77777777" w:rsidR="00BA6C8C" w:rsidRPr="00BA6C8C" w:rsidRDefault="00BA6C8C" w:rsidP="007A49A4">
      <w:pPr>
        <w:jc w:val="center"/>
        <w:rPr>
          <w:rFonts w:asciiTheme="minorHAnsi" w:hAnsiTheme="minorHAnsi" w:cstheme="minorHAnsi"/>
          <w:b/>
          <w:bCs/>
          <w:spacing w:val="-6"/>
          <w:sz w:val="28"/>
          <w:szCs w:val="28"/>
        </w:rPr>
      </w:pPr>
    </w:p>
    <w:p w14:paraId="50184728" w14:textId="77777777" w:rsidR="00B44CEF" w:rsidRPr="00BA6C8C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Геологическое изучение месторождений полезных ископаемых как объектов промышленного использования направлено на решение двух основных задач:</w:t>
      </w:r>
    </w:p>
    <w:p w14:paraId="4E6EB73A" w14:textId="77777777" w:rsidR="00B44CEF" w:rsidRPr="00BA6C8C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1) установление распределения полезного ископаемого и ценного компонента в недрах и построение пространственной модели месторождения;</w:t>
      </w:r>
    </w:p>
    <w:p w14:paraId="087802EA" w14:textId="77777777" w:rsidR="00B44CEF" w:rsidRPr="00BA6C8C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2) определение объема недр, занимаемого полезным ископаемым, и характеристик его качества в этом объеме. </w:t>
      </w:r>
    </w:p>
    <w:p w14:paraId="7F14927C" w14:textId="694A4706" w:rsidR="00B44CEF" w:rsidRPr="00BA6C8C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Положение полезного ископаемого определяется по результатам вскрытия недр техническими средствами – горными выработками и буровыми скважинами в сочетании с геофизическими методами исследований. Скважины и горные выработки располагаются по определенной разведочной сети, которая должна быть отвечать требованиям необходимости и  достаточности, определяемыми опытным путем. При проектировании оценки (разведки) используются усредненные данные, обобщающие опыт разведки аналогичных месторождений.</w:t>
      </w:r>
    </w:p>
    <w:p w14:paraId="5344AA30" w14:textId="77777777" w:rsidR="00B44CEF" w:rsidRPr="00BA6C8C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Технические средства разведки различаются по своим возможностям, информативности и стоимости.</w:t>
      </w:r>
    </w:p>
    <w:p w14:paraId="0C41D91E" w14:textId="77777777" w:rsidR="00B44CEF" w:rsidRPr="00BA6C8C" w:rsidRDefault="00B44CEF" w:rsidP="007A49A4">
      <w:pPr>
        <w:ind w:firstLine="720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Наиболее информативным техническим средством являются горные выработки, которые позволяют осуществлять визуальные наблюдения особенностей полезного ископаемого на месте залегания, инструментально (маркшейдерским способом) привязать  эти  наблюдения в пространстве, с вычислением точных координат любого зафиксированного геологического элемента, а также отобрать пробы любых размеров и массы. Однако проходка  осуществляется  медленно и ее стоимость высока. Есть и другие ограничения возможностей горных выработок (глубинность, устойчивость пород, обводненность и др.). </w:t>
      </w:r>
    </w:p>
    <w:p w14:paraId="55331A08" w14:textId="77777777" w:rsidR="00B44CEF" w:rsidRPr="00BA6C8C" w:rsidRDefault="00B44CEF" w:rsidP="007A49A4">
      <w:pPr>
        <w:shd w:val="clear" w:color="auto" w:fill="FFFFFF"/>
        <w:ind w:left="14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Горные выработки разделяются на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поверхностные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и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подземные.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К поверхностным горным выработкам относятся канавы, траншеи и шурфы, а к подземным - штольни и шахты с комплексом развиваемых из них выработок - штреков, квершлагов, восстающих и пр.</w:t>
      </w:r>
    </w:p>
    <w:p w14:paraId="247A7F59" w14:textId="77777777" w:rsidR="00B44CEF" w:rsidRPr="00BA6C8C" w:rsidRDefault="00B44CEF" w:rsidP="007A49A4">
      <w:pPr>
        <w:ind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Канавы, траншеи и шурфы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используются в основном для вскрытия полезного ископаемого и вмещающих пород в коренном залегании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под наносами.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Их основное назначение при разведке - изучение поверхности и составление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>геологической карты месторождения.</w:t>
      </w:r>
    </w:p>
    <w:p w14:paraId="0A743607" w14:textId="77777777" w:rsidR="00B44CEF" w:rsidRPr="00BA6C8C" w:rsidRDefault="00B44CEF" w:rsidP="007A49A4">
      <w:pPr>
        <w:shd w:val="clear" w:color="auto" w:fill="FFFFFF"/>
        <w:ind w:left="5" w:right="5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Шахты и штольни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используются для вскрытия месторожде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ний полезных ископаемых на глубине. Подземные горные выработки (особенно шахты) обычно используют для разведки месторождений с определившимся промышленным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lastRenderedPageBreak/>
        <w:t>значением и закладывают с учетом дальнейшего использования при эксплуатации.</w:t>
      </w:r>
    </w:p>
    <w:p w14:paraId="274962F7" w14:textId="77777777" w:rsidR="00B44CEF" w:rsidRPr="00BA6C8C" w:rsidRDefault="00B44CEF" w:rsidP="007A49A4">
      <w:pPr>
        <w:shd w:val="clear" w:color="auto" w:fill="FFFFFF"/>
        <w:ind w:left="5" w:right="5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Буровые скважины представляют собой наиболее широко применяемое техническое средство разведки. Их преимущество - относительная дешевизна и высокая скорость проходки, а недостаток - возможность изучения лишь образцов пород и полезного ископаемого, извлеченных из скважины.</w:t>
      </w:r>
    </w:p>
    <w:p w14:paraId="2DE3830B" w14:textId="77777777" w:rsidR="00B44CEF" w:rsidRPr="00BA6C8C" w:rsidRDefault="00B44CEF" w:rsidP="007A49A4">
      <w:pPr>
        <w:shd w:val="clear" w:color="auto" w:fill="FFFFFF"/>
        <w:ind w:left="10" w:right="10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Существуют три основных способа бурения скважин: колонковый, канатно-ударный и роторно-турбинный.</w:t>
      </w:r>
    </w:p>
    <w:p w14:paraId="0C2713EB" w14:textId="77777777" w:rsidR="00B44CEF" w:rsidRPr="00BA6C8C" w:rsidRDefault="00B44CEF" w:rsidP="007A49A4">
      <w:pPr>
        <w:shd w:val="clear" w:color="auto" w:fill="FFFFFF"/>
        <w:ind w:right="10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Колонковый способ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является наиболее распространенным при разведке твердых полезных ископаемых. При этом способе буре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ние осуществляют кольцевым забоем и из скважины извлекают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керн,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представляющий собой столбик породы с ненарушенной структурой. Однако в процессе бурения, особенно по </w:t>
      </w:r>
      <w:proofErr w:type="spellStart"/>
      <w:r w:rsidRPr="00BA6C8C">
        <w:rPr>
          <w:rFonts w:asciiTheme="minorHAnsi" w:hAnsiTheme="minorHAnsi" w:cstheme="minorHAnsi"/>
          <w:spacing w:val="-6"/>
          <w:sz w:val="28"/>
          <w:szCs w:val="28"/>
        </w:rPr>
        <w:t>слабопроч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ным</w:t>
      </w:r>
      <w:proofErr w:type="spellEnd"/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 породам и рудам, керн часто разрушается, а его выход ста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новится не полным, что снижает информативность скважин и требует принятия специальных мер. Колонковые скважины могут проходиться на глубину до </w:t>
      </w:r>
      <w:smartTag w:uri="urn:schemas-microsoft-com:office:smarttags" w:element="metricconverter">
        <w:smartTagPr>
          <w:attr w:name="ProductID" w:val="2000 м"/>
        </w:smartTagPr>
        <w:r w:rsidRPr="00BA6C8C">
          <w:rPr>
            <w:rFonts w:asciiTheme="minorHAnsi" w:hAnsiTheme="minorHAnsi" w:cstheme="minorHAnsi"/>
            <w:spacing w:val="-6"/>
            <w:sz w:val="28"/>
            <w:szCs w:val="28"/>
          </w:rPr>
          <w:t>2000 м</w:t>
        </w:r>
      </w:smartTag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 под любым углом к горизонту. Однако в большинстве случаев этот способ применяется на глу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бинах не более 500-</w:t>
      </w:r>
      <w:smartTag w:uri="urn:schemas-microsoft-com:office:smarttags" w:element="metricconverter">
        <w:smartTagPr>
          <w:attr w:name="ProductID" w:val="700 м"/>
        </w:smartTagPr>
        <w:r w:rsidRPr="00BA6C8C">
          <w:rPr>
            <w:rFonts w:asciiTheme="minorHAnsi" w:hAnsiTheme="minorHAnsi" w:cstheme="minorHAnsi"/>
            <w:spacing w:val="-6"/>
            <w:sz w:val="28"/>
            <w:szCs w:val="28"/>
          </w:rPr>
          <w:t>700 м</w:t>
        </w:r>
      </w:smartTag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 и при углах наклона от 60 до 90°. Глу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бокие скважины часто самопроизвольно искривляются. Колонко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вые скважины, как правило, бурят малыми диаметрами (76-</w:t>
      </w:r>
      <w:smartTag w:uri="urn:schemas-microsoft-com:office:smarttags" w:element="metricconverter">
        <w:smartTagPr>
          <w:attr w:name="ProductID" w:val="45 мм"/>
        </w:smartTagPr>
        <w:r w:rsidRPr="00BA6C8C">
          <w:rPr>
            <w:rFonts w:asciiTheme="minorHAnsi" w:hAnsiTheme="minorHAnsi" w:cstheme="minorHAnsi"/>
            <w:spacing w:val="-6"/>
            <w:sz w:val="28"/>
            <w:szCs w:val="28"/>
          </w:rPr>
          <w:t>45 мм</w:t>
        </w:r>
      </w:smartTag>
      <w:r w:rsidRPr="00BA6C8C">
        <w:rPr>
          <w:rFonts w:asciiTheme="minorHAnsi" w:hAnsiTheme="minorHAnsi" w:cstheme="minorHAnsi"/>
          <w:spacing w:val="-6"/>
          <w:sz w:val="28"/>
          <w:szCs w:val="28"/>
        </w:rPr>
        <w:t>). Станки для колонкового бурения, серийно выпускаемые россий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скими и зарубежными предприятиями, разделяются на типы по глубинам бурения (обычно до 100, до 500 и до </w:t>
      </w:r>
      <w:smartTag w:uri="urn:schemas-microsoft-com:office:smarttags" w:element="metricconverter">
        <w:smartTagPr>
          <w:attr w:name="ProductID" w:val="1000 м"/>
        </w:smartTagPr>
        <w:r w:rsidRPr="00BA6C8C">
          <w:rPr>
            <w:rFonts w:asciiTheme="minorHAnsi" w:hAnsiTheme="minorHAnsi" w:cstheme="minorHAnsi"/>
            <w:spacing w:val="-6"/>
            <w:sz w:val="28"/>
            <w:szCs w:val="28"/>
          </w:rPr>
          <w:t>1000 м</w:t>
        </w:r>
      </w:smartTag>
      <w:r w:rsidRPr="00BA6C8C">
        <w:rPr>
          <w:rFonts w:asciiTheme="minorHAnsi" w:hAnsiTheme="minorHAnsi" w:cstheme="minorHAnsi"/>
          <w:spacing w:val="-6"/>
          <w:sz w:val="28"/>
          <w:szCs w:val="28"/>
        </w:rPr>
        <w:t>).</w:t>
      </w:r>
    </w:p>
    <w:p w14:paraId="5233C675" w14:textId="77777777" w:rsidR="00B44CEF" w:rsidRPr="00BA6C8C" w:rsidRDefault="00B44CEF" w:rsidP="007A49A4">
      <w:pPr>
        <w:ind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Канатно-ударный способ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в основном применяется при раз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ведке россыпных месторождений. Бурение осуществляется сплошным забоем с периодическим </w:t>
      </w:r>
      <w:proofErr w:type="spellStart"/>
      <w:r w:rsidRPr="00BA6C8C">
        <w:rPr>
          <w:rFonts w:asciiTheme="minorHAnsi" w:hAnsiTheme="minorHAnsi" w:cstheme="minorHAnsi"/>
          <w:spacing w:val="-6"/>
          <w:sz w:val="28"/>
          <w:szCs w:val="28"/>
        </w:rPr>
        <w:t>вычерпыва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нием</w:t>
      </w:r>
      <w:proofErr w:type="spellEnd"/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 (</w:t>
      </w:r>
      <w:proofErr w:type="spellStart"/>
      <w:r w:rsidRPr="00BA6C8C">
        <w:rPr>
          <w:rFonts w:asciiTheme="minorHAnsi" w:hAnsiTheme="minorHAnsi" w:cstheme="minorHAnsi"/>
          <w:spacing w:val="-6"/>
          <w:sz w:val="28"/>
          <w:szCs w:val="28"/>
        </w:rPr>
        <w:t>желонированием</w:t>
      </w:r>
      <w:proofErr w:type="spellEnd"/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) разрушенного материала.  Скважины могут проходиться только вертикальными при глубине не более </w:t>
      </w:r>
      <w:smartTag w:uri="urn:schemas-microsoft-com:office:smarttags" w:element="metricconverter">
        <w:smartTagPr>
          <w:attr w:name="ProductID" w:val="100 м"/>
        </w:smartTagPr>
        <w:r w:rsidRPr="00BA6C8C">
          <w:rPr>
            <w:rFonts w:asciiTheme="minorHAnsi" w:hAnsiTheme="minorHAnsi" w:cstheme="minorHAnsi"/>
            <w:spacing w:val="-6"/>
            <w:sz w:val="28"/>
            <w:szCs w:val="28"/>
          </w:rPr>
          <w:t>100 м</w:t>
        </w:r>
      </w:smartTag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. Однако диаметры бурения обычно большие: от 130 до </w:t>
      </w:r>
      <w:smartTag w:uri="urn:schemas-microsoft-com:office:smarttags" w:element="metricconverter">
        <w:smartTagPr>
          <w:attr w:name="ProductID" w:val="230 мм"/>
        </w:smartTagPr>
        <w:r w:rsidRPr="00BA6C8C">
          <w:rPr>
            <w:rFonts w:asciiTheme="minorHAnsi" w:hAnsiTheme="minorHAnsi" w:cstheme="minorHAnsi"/>
            <w:spacing w:val="-6"/>
            <w:sz w:val="28"/>
            <w:szCs w:val="28"/>
          </w:rPr>
          <w:t>230 мм</w:t>
        </w:r>
      </w:smartTag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 и более, что позволяет отбирать пробы большой массы.</w:t>
      </w:r>
    </w:p>
    <w:p w14:paraId="2751572A" w14:textId="77777777" w:rsidR="00B44CEF" w:rsidRPr="00BA6C8C" w:rsidRDefault="00B44CEF" w:rsidP="007A49A4">
      <w:pPr>
        <w:shd w:val="clear" w:color="auto" w:fill="FFFFFF"/>
        <w:ind w:right="7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>Роторно-</w:t>
      </w:r>
      <w:proofErr w:type="spellStart"/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>турбиный</w:t>
      </w:r>
      <w:proofErr w:type="spellEnd"/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 способ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применяется исключительно для изучения нефтегазовых месторождений, и для него используются специальные мощные буровые установки. Глубина бурения может достигать нескольких тысяч метров (обычно - 1-3 тыс. м). Диа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метры бурения от </w:t>
      </w:r>
      <w:smartTag w:uri="urn:schemas-microsoft-com:office:smarttags" w:element="metricconverter">
        <w:smartTagPr>
          <w:attr w:name="ProductID" w:val="200 мм"/>
        </w:smartTagPr>
        <w:r w:rsidRPr="00BA6C8C">
          <w:rPr>
            <w:rFonts w:asciiTheme="minorHAnsi" w:hAnsiTheme="minorHAnsi" w:cstheme="minorHAnsi"/>
            <w:spacing w:val="-6"/>
            <w:sz w:val="28"/>
            <w:szCs w:val="28"/>
          </w:rPr>
          <w:t>200 мм</w:t>
        </w:r>
      </w:smartTag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 и более. Как правило, бурение осуще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ствляется сплошным забоем, а для отбора образцов используются специальные боковые </w:t>
      </w:r>
      <w:proofErr w:type="spellStart"/>
      <w:r w:rsidRPr="00BA6C8C">
        <w:rPr>
          <w:rFonts w:asciiTheme="minorHAnsi" w:hAnsiTheme="minorHAnsi" w:cstheme="minorHAnsi"/>
          <w:spacing w:val="-6"/>
          <w:sz w:val="28"/>
          <w:szCs w:val="28"/>
        </w:rPr>
        <w:t>грунтоотборники</w:t>
      </w:r>
      <w:proofErr w:type="spellEnd"/>
      <w:r w:rsidRPr="00BA6C8C">
        <w:rPr>
          <w:rFonts w:asciiTheme="minorHAnsi" w:hAnsiTheme="minorHAnsi" w:cstheme="minorHAnsi"/>
          <w:spacing w:val="-6"/>
          <w:sz w:val="28"/>
          <w:szCs w:val="28"/>
        </w:rPr>
        <w:t>. Однако при необходимос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ти с ограниченных участков может производиться отбор керна, диаметром значительно меньшим диаметра бурения. Скважины могут буриться вертикальными, наклонными или направленно-искривленными. Бурение таким способом можно вести также в водоемах (морях) со специальных платформ.</w:t>
      </w:r>
    </w:p>
    <w:p w14:paraId="7689A5DE" w14:textId="77777777" w:rsidR="00B44CEF" w:rsidRPr="00BA6C8C" w:rsidRDefault="00B44CEF" w:rsidP="007A49A4">
      <w:pPr>
        <w:shd w:val="clear" w:color="auto" w:fill="FFFFFF"/>
        <w:ind w:left="7" w:right="22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Изучение месторождений скважинами и горными выработками обычно сопровождается геофизическими методами исследования. Особое значение эти методы приобретают при геологоразведоч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ных работах на нефть и газ.</w:t>
      </w:r>
    </w:p>
    <w:p w14:paraId="19AD3E05" w14:textId="77777777" w:rsidR="00B44CEF" w:rsidRPr="00BA6C8C" w:rsidRDefault="00B44CEF" w:rsidP="007A49A4">
      <w:pPr>
        <w:shd w:val="clear" w:color="auto" w:fill="FFFFFF"/>
        <w:ind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lastRenderedPageBreak/>
        <w:t>Геофизические исследования, хотя и являются вспомо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гательным техническим средством, так как непосредственной гео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логической информации не дают, но часто позволяют сократить количество необходимых скважин (выработок) или получить весьма ценную дополнительную информацию.</w:t>
      </w:r>
    </w:p>
    <w:p w14:paraId="26310FC6" w14:textId="77777777" w:rsidR="00B44CEF" w:rsidRPr="00BA6C8C" w:rsidRDefault="00B44CEF" w:rsidP="007A49A4">
      <w:pPr>
        <w:shd w:val="clear" w:color="auto" w:fill="FFFFFF"/>
        <w:ind w:left="14" w:right="7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Используемые при оценке и разведке геофизические методы могут быть разделены на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сопровождающие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горные выработки или скважины и частично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заменяющие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их.</w:t>
      </w:r>
    </w:p>
    <w:p w14:paraId="4336DD1F" w14:textId="77777777" w:rsidR="00B44CEF" w:rsidRPr="00BA6C8C" w:rsidRDefault="00B44CEF" w:rsidP="007A49A4">
      <w:pPr>
        <w:shd w:val="clear" w:color="auto" w:fill="FFFFFF"/>
        <w:ind w:right="7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К сопровождающим относятся различные геофизические мето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ды исследования скважин (каротаж), геофизические методы оп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робования полезного ископаемого в горных выработках, а также методы геофизического изучения пространства между скважина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ми или выработками (радиоволновое просвечивание, </w:t>
      </w:r>
      <w:proofErr w:type="spellStart"/>
      <w:r w:rsidRPr="00BA6C8C">
        <w:rPr>
          <w:rFonts w:asciiTheme="minorHAnsi" w:hAnsiTheme="minorHAnsi" w:cstheme="minorHAnsi"/>
          <w:spacing w:val="-6"/>
          <w:sz w:val="28"/>
          <w:szCs w:val="28"/>
        </w:rPr>
        <w:t>электрокор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реляция</w:t>
      </w:r>
      <w:proofErr w:type="spellEnd"/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 разрезов и др.).</w:t>
      </w:r>
    </w:p>
    <w:p w14:paraId="2ACDBEF6" w14:textId="77777777" w:rsidR="00B44CEF" w:rsidRPr="00BA6C8C" w:rsidRDefault="00B44CEF" w:rsidP="007A49A4">
      <w:pPr>
        <w:shd w:val="clear" w:color="auto" w:fill="FFFFFF"/>
        <w:ind w:left="7" w:right="7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В зависимости от глубины исследований выделяют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>методы малой, средней и большой глубинности.</w:t>
      </w:r>
    </w:p>
    <w:p w14:paraId="3223AEE5" w14:textId="77777777" w:rsidR="00B44CEF" w:rsidRPr="00BA6C8C" w:rsidRDefault="00B44CEF" w:rsidP="007A49A4">
      <w:pPr>
        <w:shd w:val="clear" w:color="auto" w:fill="FFFFFF"/>
        <w:ind w:left="14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К глубинным относятся магнитные, гравиметрические, сейсми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ческие и некоторые электрические (ВЭЗ) методы, глубинность которых в принципе неограниченна.</w:t>
      </w:r>
    </w:p>
    <w:p w14:paraId="1DF964A1" w14:textId="77777777" w:rsidR="00B44CEF" w:rsidRPr="00BA6C8C" w:rsidRDefault="00B44CEF" w:rsidP="007A49A4">
      <w:pPr>
        <w:shd w:val="clear" w:color="auto" w:fill="FFFFFF"/>
        <w:ind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Основными показателями качества анализов являются их точ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ность и правильность.</w:t>
      </w:r>
    </w:p>
    <w:p w14:paraId="03963B60" w14:textId="77777777" w:rsidR="00B44CEF" w:rsidRPr="00BA6C8C" w:rsidRDefault="00B44CEF" w:rsidP="007A49A4">
      <w:pPr>
        <w:shd w:val="clear" w:color="auto" w:fill="FFFFFF"/>
        <w:ind w:left="7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Точность анализа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характеризуется величиной его случайной ошибки (стандартным отклонением результатов в серии повтор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ных определений).</w:t>
      </w:r>
    </w:p>
    <w:p w14:paraId="35707EE8" w14:textId="77777777" w:rsidR="00B44CEF" w:rsidRPr="00BA6C8C" w:rsidRDefault="00B44CEF" w:rsidP="007A49A4">
      <w:pPr>
        <w:shd w:val="clear" w:color="auto" w:fill="FFFFFF"/>
        <w:ind w:left="7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Правильность анализа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определяется близостью к нулю его систематической ошибки (отклонением математического ожида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ния серии измерений от истинного значения).</w:t>
      </w:r>
    </w:p>
    <w:p w14:paraId="37C16A7D" w14:textId="77777777" w:rsidR="00B44CEF" w:rsidRPr="00BA6C8C" w:rsidRDefault="00B44CEF" w:rsidP="007A49A4">
      <w:pPr>
        <w:shd w:val="clear" w:color="auto" w:fill="FFFFFF"/>
        <w:ind w:right="7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Для контроля за правильностью и точностью работы аналити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ческих лабораторий проводят систематический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внутренний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и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внешний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геологический контроль, осуществляемый путем повтор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ного анализа зашифрованных проб в основной лаборатории (внутренний контроль) или повторным анализом проб в другой, более квалифицированной лаборатории (внешний контроль).</w:t>
      </w:r>
    </w:p>
    <w:p w14:paraId="121F1FF2" w14:textId="3D430122" w:rsidR="00BA6C8C" w:rsidRDefault="00B44CEF" w:rsidP="007A49A4">
      <w:pPr>
        <w:shd w:val="clear" w:color="auto" w:fill="FFFFFF"/>
        <w:ind w:right="7" w:firstLine="706"/>
        <w:jc w:val="both"/>
        <w:rPr>
          <w:rFonts w:asciiTheme="minorHAnsi" w:hAnsiTheme="minorHAnsi" w:cstheme="minorHAnsi"/>
          <w:spacing w:val="-6"/>
          <w:sz w:val="28"/>
          <w:szCs w:val="28"/>
        </w:rPr>
      </w:pPr>
      <w:r w:rsidRPr="00BA6C8C">
        <w:rPr>
          <w:rFonts w:asciiTheme="minorHAnsi" w:hAnsiTheme="minorHAnsi" w:cstheme="minorHAnsi"/>
          <w:spacing w:val="-6"/>
          <w:sz w:val="28"/>
          <w:szCs w:val="28"/>
        </w:rPr>
        <w:t>При производстве анализов руд конкретных месторождений физическими методами рекомендуется составлять специальные эталоны из руд данного месторождения. Такие эталоны, называе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 xml:space="preserve">мые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 xml:space="preserve">стандартными образцами состава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 xml:space="preserve">(СОС) или 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t>стандарт</w:t>
      </w:r>
      <w:r w:rsidRPr="00BA6C8C">
        <w:rPr>
          <w:rFonts w:asciiTheme="minorHAnsi" w:hAnsiTheme="minorHAnsi" w:cstheme="minorHAnsi"/>
          <w:i/>
          <w:iCs/>
          <w:spacing w:val="-6"/>
          <w:sz w:val="28"/>
          <w:szCs w:val="28"/>
        </w:rPr>
        <w:softHyphen/>
        <w:t xml:space="preserve">ными образцами предприятия 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t>(СОП), могут использоваться не только для эталонирования методов (аппаратуры), но и для кон</w:t>
      </w:r>
      <w:r w:rsidRPr="00BA6C8C">
        <w:rPr>
          <w:rFonts w:asciiTheme="minorHAnsi" w:hAnsiTheme="minorHAnsi" w:cstheme="minorHAnsi"/>
          <w:spacing w:val="-6"/>
          <w:sz w:val="28"/>
          <w:szCs w:val="28"/>
        </w:rPr>
        <w:softHyphen/>
        <w:t>троля работы лабораторий.</w:t>
      </w:r>
    </w:p>
    <w:p w14:paraId="4E8F430D" w14:textId="408D268D" w:rsidR="00BA6C8C" w:rsidRDefault="00BA6C8C">
      <w:pPr>
        <w:spacing w:after="160" w:line="259" w:lineRule="auto"/>
        <w:rPr>
          <w:rFonts w:asciiTheme="minorHAnsi" w:hAnsiTheme="minorHAnsi" w:cstheme="minorHAnsi"/>
          <w:spacing w:val="-6"/>
          <w:sz w:val="28"/>
          <w:szCs w:val="28"/>
        </w:rPr>
      </w:pPr>
    </w:p>
    <w:sectPr w:rsidR="00BA6C8C" w:rsidSect="004B0B32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8ACA0EA"/>
    <w:lvl w:ilvl="0">
      <w:numFmt w:val="bullet"/>
      <w:lvlText w:val="*"/>
      <w:lvlJc w:val="left"/>
    </w:lvl>
  </w:abstractNum>
  <w:abstractNum w:abstractNumId="1" w15:restartNumberingAfterBreak="0">
    <w:nsid w:val="03A91AAA"/>
    <w:multiLevelType w:val="hybridMultilevel"/>
    <w:tmpl w:val="96DAA272"/>
    <w:lvl w:ilvl="0" w:tplc="27A8A4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9437A62"/>
    <w:multiLevelType w:val="singleLevel"/>
    <w:tmpl w:val="CB14795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192148F0"/>
    <w:multiLevelType w:val="singleLevel"/>
    <w:tmpl w:val="E278B92C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B460AA7"/>
    <w:multiLevelType w:val="hybridMultilevel"/>
    <w:tmpl w:val="69D82572"/>
    <w:lvl w:ilvl="0" w:tplc="41A23D7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E06218"/>
    <w:multiLevelType w:val="hybridMultilevel"/>
    <w:tmpl w:val="89B44AA2"/>
    <w:lvl w:ilvl="0" w:tplc="3F287568">
      <w:start w:val="1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4662723"/>
    <w:multiLevelType w:val="singleLevel"/>
    <w:tmpl w:val="6978B45C"/>
    <w:lvl w:ilvl="0">
      <w:start w:val="1"/>
      <w:numFmt w:val="decimal"/>
      <w:lvlText w:val="%1.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40495B"/>
    <w:multiLevelType w:val="hybridMultilevel"/>
    <w:tmpl w:val="FB0EDB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406DE7"/>
    <w:multiLevelType w:val="multilevel"/>
    <w:tmpl w:val="F0B269B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B376BD5"/>
    <w:multiLevelType w:val="hybridMultilevel"/>
    <w:tmpl w:val="A094C810"/>
    <w:lvl w:ilvl="0" w:tplc="390AB022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3B625A89"/>
    <w:multiLevelType w:val="hybridMultilevel"/>
    <w:tmpl w:val="69624354"/>
    <w:lvl w:ilvl="0" w:tplc="C4FCAB1A">
      <w:start w:val="1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3A647B02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D0B0A62"/>
    <w:multiLevelType w:val="multilevel"/>
    <w:tmpl w:val="F9A24F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6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2" w15:restartNumberingAfterBreak="0">
    <w:nsid w:val="47D909C5"/>
    <w:multiLevelType w:val="hybridMultilevel"/>
    <w:tmpl w:val="3140F046"/>
    <w:lvl w:ilvl="0" w:tplc="ED78BAB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80A5EC8"/>
    <w:multiLevelType w:val="hybridMultilevel"/>
    <w:tmpl w:val="12521D22"/>
    <w:lvl w:ilvl="0" w:tplc="8EB6504E">
      <w:start w:val="1"/>
      <w:numFmt w:val="decimal"/>
      <w:lvlText w:val="%1)"/>
      <w:lvlJc w:val="left"/>
      <w:pPr>
        <w:tabs>
          <w:tab w:val="num" w:pos="2310"/>
        </w:tabs>
        <w:ind w:left="231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4EA26728"/>
    <w:multiLevelType w:val="singleLevel"/>
    <w:tmpl w:val="77403052"/>
    <w:lvl w:ilvl="0">
      <w:start w:val="28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D57B97"/>
    <w:multiLevelType w:val="hybridMultilevel"/>
    <w:tmpl w:val="D428A280"/>
    <w:lvl w:ilvl="0" w:tplc="AF865A4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EA93C46"/>
    <w:multiLevelType w:val="singleLevel"/>
    <w:tmpl w:val="F45E81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7" w15:restartNumberingAfterBreak="0">
    <w:nsid w:val="631A318D"/>
    <w:multiLevelType w:val="hybridMultilevel"/>
    <w:tmpl w:val="7A5ED0E0"/>
    <w:lvl w:ilvl="0" w:tplc="D41A6794">
      <w:start w:val="1"/>
      <w:numFmt w:val="decimal"/>
      <w:lvlText w:val="%1)"/>
      <w:lvlJc w:val="left"/>
      <w:pPr>
        <w:tabs>
          <w:tab w:val="num" w:pos="3075"/>
        </w:tabs>
        <w:ind w:left="307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64432787"/>
    <w:multiLevelType w:val="hybridMultilevel"/>
    <w:tmpl w:val="AEDE0B72"/>
    <w:lvl w:ilvl="0" w:tplc="D78C9034">
      <w:start w:val="3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64F00C83"/>
    <w:multiLevelType w:val="singleLevel"/>
    <w:tmpl w:val="84FC180E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69007FE5"/>
    <w:multiLevelType w:val="multilevel"/>
    <w:tmpl w:val="3970E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Letter"/>
      <w:pStyle w:val="1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12419C"/>
    <w:multiLevelType w:val="hybridMultilevel"/>
    <w:tmpl w:val="1560685A"/>
    <w:lvl w:ilvl="0" w:tplc="B3844AD0">
      <w:start w:val="1"/>
      <w:numFmt w:val="decimal"/>
      <w:lvlText w:val="%1)"/>
      <w:lvlJc w:val="left"/>
      <w:pPr>
        <w:tabs>
          <w:tab w:val="num" w:pos="2190"/>
        </w:tabs>
        <w:ind w:left="2190" w:hanging="1290"/>
      </w:pPr>
      <w:rPr>
        <w:rFonts w:hint="default"/>
      </w:rPr>
    </w:lvl>
    <w:lvl w:ilvl="1" w:tplc="BABEB758">
      <w:start w:val="5"/>
      <w:numFmt w:val="decimal"/>
      <w:lvlText w:val="%2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76381C8F"/>
    <w:multiLevelType w:val="hybridMultilevel"/>
    <w:tmpl w:val="94A2AD8A"/>
    <w:lvl w:ilvl="0" w:tplc="B428DCB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7B320620"/>
    <w:multiLevelType w:val="multilevel"/>
    <w:tmpl w:val="073835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6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24" w15:restartNumberingAfterBreak="0">
    <w:nsid w:val="7E803587"/>
    <w:multiLevelType w:val="hybridMultilevel"/>
    <w:tmpl w:val="4F1C3ACC"/>
    <w:lvl w:ilvl="0" w:tplc="6E1CA966">
      <w:start w:val="1"/>
      <w:numFmt w:val="decimal"/>
      <w:lvlText w:val="%1)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374690801">
    <w:abstractNumId w:val="8"/>
  </w:num>
  <w:num w:numId="2" w16cid:durableId="924343236">
    <w:abstractNumId w:val="20"/>
  </w:num>
  <w:num w:numId="3" w16cid:durableId="1686513770">
    <w:abstractNumId w:val="14"/>
  </w:num>
  <w:num w:numId="4" w16cid:durableId="1438519070">
    <w:abstractNumId w:val="1"/>
  </w:num>
  <w:num w:numId="5" w16cid:durableId="1017583139">
    <w:abstractNumId w:val="18"/>
  </w:num>
  <w:num w:numId="6" w16cid:durableId="236592113">
    <w:abstractNumId w:val="13"/>
  </w:num>
  <w:num w:numId="7" w16cid:durableId="1975256862">
    <w:abstractNumId w:val="15"/>
  </w:num>
  <w:num w:numId="8" w16cid:durableId="787242041">
    <w:abstractNumId w:val="9"/>
  </w:num>
  <w:num w:numId="9" w16cid:durableId="63070895">
    <w:abstractNumId w:val="24"/>
  </w:num>
  <w:num w:numId="10" w16cid:durableId="1947230080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11" w16cid:durableId="16514467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2" w16cid:durableId="1062023784">
    <w:abstractNumId w:val="3"/>
  </w:num>
  <w:num w:numId="13" w16cid:durableId="986125036">
    <w:abstractNumId w:val="6"/>
  </w:num>
  <w:num w:numId="14" w16cid:durableId="2091929942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15" w16cid:durableId="1596670288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6" w16cid:durableId="39166227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7" w16cid:durableId="2034457722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18" w16cid:durableId="719473061">
    <w:abstractNumId w:val="17"/>
  </w:num>
  <w:num w:numId="19" w16cid:durableId="607783135">
    <w:abstractNumId w:val="12"/>
  </w:num>
  <w:num w:numId="20" w16cid:durableId="190148768">
    <w:abstractNumId w:val="21"/>
  </w:num>
  <w:num w:numId="21" w16cid:durableId="1457529161">
    <w:abstractNumId w:val="22"/>
  </w:num>
  <w:num w:numId="22" w16cid:durableId="2033453948">
    <w:abstractNumId w:val="16"/>
    <w:lvlOverride w:ilvl="0">
      <w:startOverride w:val="1"/>
    </w:lvlOverride>
  </w:num>
  <w:num w:numId="23" w16cid:durableId="330303897">
    <w:abstractNumId w:val="2"/>
    <w:lvlOverride w:ilvl="0">
      <w:startOverride w:val="1"/>
    </w:lvlOverride>
  </w:num>
  <w:num w:numId="24" w16cid:durableId="164631310">
    <w:abstractNumId w:val="19"/>
    <w:lvlOverride w:ilvl="0">
      <w:startOverride w:val="9"/>
    </w:lvlOverride>
  </w:num>
  <w:num w:numId="25" w16cid:durableId="878971717">
    <w:abstractNumId w:val="7"/>
  </w:num>
  <w:num w:numId="26" w16cid:durableId="984510319">
    <w:abstractNumId w:val="10"/>
  </w:num>
  <w:num w:numId="27" w16cid:durableId="10342357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38293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9413416">
    <w:abstractNumId w:val="5"/>
  </w:num>
  <w:num w:numId="30" w16cid:durableId="1951282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CEF"/>
    <w:rsid w:val="0025265F"/>
    <w:rsid w:val="004B0B32"/>
    <w:rsid w:val="005C09EF"/>
    <w:rsid w:val="007A49A4"/>
    <w:rsid w:val="00B44CEF"/>
    <w:rsid w:val="00BA6C8C"/>
    <w:rsid w:val="00BF040F"/>
    <w:rsid w:val="00C00069"/>
    <w:rsid w:val="00C85035"/>
    <w:rsid w:val="00F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F69867"/>
  <w15:chartTrackingRefBased/>
  <w15:docId w15:val="{0725F6A3-ACE4-4EAE-901D-5CD9FBF2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4CEF"/>
    <w:pPr>
      <w:keepNext/>
      <w:numPr>
        <w:ilvl w:val="1"/>
        <w:numId w:val="2"/>
      </w:numPr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B44CE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44C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44C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44CE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C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44C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44C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44C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44CE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B44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B44C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44C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rsid w:val="00B44CEF"/>
    <w:pPr>
      <w:spacing w:after="120"/>
    </w:pPr>
  </w:style>
  <w:style w:type="character" w:customStyle="1" w:styleId="a5">
    <w:name w:val="Основной текст Знак"/>
    <w:basedOn w:val="a0"/>
    <w:link w:val="a4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B44CE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B44CE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B44C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B44CEF"/>
  </w:style>
  <w:style w:type="paragraph" w:styleId="ab">
    <w:name w:val="header"/>
    <w:basedOn w:val="a"/>
    <w:link w:val="ac"/>
    <w:rsid w:val="00B44CE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B44CE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semiHidden/>
    <w:rsid w:val="00B44CE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Normal (Web)"/>
    <w:basedOn w:val="a"/>
    <w:rsid w:val="00B44CEF"/>
    <w:pPr>
      <w:spacing w:before="100" w:beforeAutospacing="1" w:after="100" w:afterAutospacing="1"/>
    </w:pPr>
  </w:style>
  <w:style w:type="paragraph" w:styleId="af0">
    <w:name w:val="Title"/>
    <w:basedOn w:val="a"/>
    <w:link w:val="af1"/>
    <w:qFormat/>
    <w:rsid w:val="00B44CEF"/>
    <w:pPr>
      <w:jc w:val="center"/>
    </w:pPr>
    <w:rPr>
      <w:sz w:val="28"/>
      <w:szCs w:val="20"/>
    </w:rPr>
  </w:style>
  <w:style w:type="character" w:customStyle="1" w:styleId="af1">
    <w:name w:val="Заголовок Знак"/>
    <w:basedOn w:val="a0"/>
    <w:link w:val="af0"/>
    <w:rsid w:val="00B44C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Subtitle"/>
    <w:basedOn w:val="a"/>
    <w:link w:val="af3"/>
    <w:qFormat/>
    <w:rsid w:val="00B44CEF"/>
    <w:pPr>
      <w:jc w:val="center"/>
    </w:pPr>
    <w:rPr>
      <w:sz w:val="28"/>
      <w:szCs w:val="20"/>
      <w:u w:val="single"/>
    </w:rPr>
  </w:style>
  <w:style w:type="character" w:customStyle="1" w:styleId="af3">
    <w:name w:val="Подзаголовок Знак"/>
    <w:basedOn w:val="a0"/>
    <w:link w:val="af2"/>
    <w:rsid w:val="00B44CEF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23">
    <w:name w:val="Body Text Indent 2"/>
    <w:basedOn w:val="a"/>
    <w:link w:val="24"/>
    <w:rsid w:val="00B44CE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B44C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nhideWhenUsed/>
    <w:rsid w:val="00B44CEF"/>
    <w:rPr>
      <w:color w:val="0000FF"/>
      <w:u w:val="single"/>
    </w:rPr>
  </w:style>
  <w:style w:type="character" w:styleId="HTML">
    <w:name w:val="HTML Cite"/>
    <w:basedOn w:val="a0"/>
    <w:rsid w:val="00B44CEF"/>
    <w:rPr>
      <w:i w:val="0"/>
      <w:iCs w:val="0"/>
      <w:color w:val="0099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1070</Words>
  <Characters>6102</Characters>
  <Application>Microsoft Office Word</Application>
  <DocSecurity>0</DocSecurity>
  <Lines>50</Lines>
  <Paragraphs>14</Paragraphs>
  <ScaleCrop>false</ScaleCrop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Pyatkov</dc:creator>
  <cp:keywords/>
  <dc:description/>
  <cp:lastModifiedBy>Пользователь</cp:lastModifiedBy>
  <cp:revision>4</cp:revision>
  <dcterms:created xsi:type="dcterms:W3CDTF">2025-09-12T06:01:00Z</dcterms:created>
  <dcterms:modified xsi:type="dcterms:W3CDTF">2025-09-18T06:35:00Z</dcterms:modified>
</cp:coreProperties>
</file>